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03" w:rsidRDefault="00437103" w:rsidP="009C222F">
      <w:pPr>
        <w:jc w:val="both"/>
        <w:rPr>
          <w:rFonts w:ascii="Arial" w:hAnsi="Arial"/>
          <w:b/>
          <w:bCs/>
        </w:rPr>
      </w:pPr>
      <w:bookmarkStart w:id="0" w:name="_GoBack"/>
      <w:bookmarkEnd w:id="0"/>
    </w:p>
    <w:p w:rsidR="00437103" w:rsidRDefault="00591B9F" w:rsidP="009C222F">
      <w:pPr>
        <w:jc w:val="both"/>
        <w:rPr>
          <w:rFonts w:ascii="Arial" w:hAnsi="Arial"/>
          <w:b/>
          <w:bCs/>
        </w:rPr>
      </w:pPr>
      <w:r w:rsidRPr="00591B9F">
        <w:rPr>
          <w:rFonts w:ascii="Arial" w:hAnsi="Arial"/>
          <w:b/>
          <w:bCs/>
          <w:noProof/>
          <w:lang w:eastAsia="pt-BR"/>
        </w:rPr>
        <w:drawing>
          <wp:inline distT="0" distB="0" distL="0" distR="0">
            <wp:extent cx="5400040" cy="889620"/>
            <wp:effectExtent l="19050" t="0" r="0" b="0"/>
            <wp:docPr id="2" name="Imagem 1" descr="D:\ALEX\ALEXXX\tutoria sem da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D:\ALEX\ALEXXX\tutoria sem da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9F" w:rsidRDefault="00591B9F" w:rsidP="00591B9F">
      <w:pPr>
        <w:pStyle w:val="Padro"/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FACULDADE DE MEDICINA NOVA ESPERANÇA</w:t>
      </w:r>
    </w:p>
    <w:p w:rsidR="00591B9F" w:rsidRDefault="00591B9F" w:rsidP="00591B9F">
      <w:pPr>
        <w:pStyle w:val="Padro"/>
        <w:ind w:left="1416"/>
      </w:pPr>
      <w:r>
        <w:rPr>
          <w:b/>
          <w:sz w:val="28"/>
          <w:szCs w:val="28"/>
        </w:rPr>
        <w:t>Reconhecida pelo MEC: Portaria nº 1.084, de 28/12/2007, publicada no DOU de 31/12/2007, página 36, seção 1.</w:t>
      </w:r>
    </w:p>
    <w:p w:rsidR="00591B9F" w:rsidRDefault="00591B9F" w:rsidP="00591B9F">
      <w:pPr>
        <w:pStyle w:val="Ttulo"/>
        <w:jc w:val="both"/>
        <w:rPr>
          <w:rFonts w:ascii="Arial" w:hAnsi="Arial" w:cs="Arial"/>
          <w:sz w:val="2"/>
          <w:szCs w:val="2"/>
        </w:rPr>
      </w:pPr>
    </w:p>
    <w:p w:rsidR="00591B9F" w:rsidRDefault="00591B9F" w:rsidP="00591B9F">
      <w:pPr>
        <w:pStyle w:val="Ttulo"/>
        <w:jc w:val="both"/>
        <w:rPr>
          <w:rFonts w:ascii="Arial" w:hAnsi="Arial" w:cs="Arial"/>
          <w:sz w:val="2"/>
          <w:szCs w:val="2"/>
        </w:rPr>
      </w:pPr>
    </w:p>
    <w:p w:rsidR="00591B9F" w:rsidRDefault="00591B9F" w:rsidP="00591B9F">
      <w:pPr>
        <w:pStyle w:val="Ttulo"/>
        <w:jc w:val="both"/>
        <w:rPr>
          <w:rFonts w:ascii="Arial" w:hAnsi="Arial" w:cs="Arial"/>
          <w:sz w:val="2"/>
          <w:szCs w:val="2"/>
        </w:rPr>
      </w:pPr>
    </w:p>
    <w:p w:rsidR="00971226" w:rsidRDefault="00971226" w:rsidP="00971226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971226" w:rsidRPr="00CE3C6C" w:rsidRDefault="00971226" w:rsidP="00971226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  <w:r w:rsidRPr="00CE3C6C">
        <w:rPr>
          <w:b/>
          <w:u w:val="single"/>
        </w:rPr>
        <w:t>TUTORIA</w:t>
      </w:r>
    </w:p>
    <w:p w:rsidR="00971226" w:rsidRDefault="00971226" w:rsidP="00971226">
      <w:pPr>
        <w:spacing w:after="0" w:line="240" w:lineRule="auto"/>
        <w:jc w:val="both"/>
        <w:rPr>
          <w:rFonts w:ascii="Times New Roman" w:hAnsi="Times New Roman"/>
        </w:rPr>
      </w:pPr>
    </w:p>
    <w:p w:rsidR="00971226" w:rsidRDefault="00971226" w:rsidP="00971226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971226" w:rsidRPr="00971226" w:rsidRDefault="00971226" w:rsidP="00971226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t-BR"/>
        </w:rPr>
      </w:pPr>
      <w:r w:rsidRPr="00971226">
        <w:rPr>
          <w:rFonts w:ascii="Times New Roman" w:hAnsi="Times New Roman"/>
        </w:rPr>
        <w:t xml:space="preserve">O Programa de Tutoria Científico-Acadêmica é parte da política de valorização do ensino de graduação e integra o conjunto das ações destinadas ao apoio à formação estudantil nas Faculdades Nova Esperança Facene/Famene. A </w:t>
      </w:r>
      <w:r w:rsidRPr="00971226">
        <w:rPr>
          <w:rFonts w:ascii="Times New Roman" w:hAnsi="Times New Roman"/>
          <w:bCs/>
        </w:rPr>
        <w:t>tutoria,</w:t>
      </w:r>
      <w:r w:rsidRPr="00971226">
        <w:rPr>
          <w:rFonts w:ascii="Times New Roman" w:hAnsi="Times New Roman"/>
        </w:rPr>
        <w:t xml:space="preserve"> também chamada de </w:t>
      </w:r>
      <w:proofErr w:type="spellStart"/>
      <w:r w:rsidRPr="00971226">
        <w:rPr>
          <w:rFonts w:ascii="Times New Roman" w:hAnsi="Times New Roman"/>
          <w:bCs/>
          <w:i/>
          <w:iCs/>
        </w:rPr>
        <w:t>mentoring</w:t>
      </w:r>
      <w:proofErr w:type="spellEnd"/>
      <w:r w:rsidRPr="00971226">
        <w:rPr>
          <w:rFonts w:ascii="Times New Roman" w:hAnsi="Times New Roman"/>
          <w:bCs/>
          <w:iCs/>
        </w:rPr>
        <w:t>,</w:t>
      </w:r>
      <w:r w:rsidRPr="00971226">
        <w:rPr>
          <w:rFonts w:ascii="Times New Roman" w:hAnsi="Times New Roman"/>
        </w:rPr>
        <w:t xml:space="preserve"> é um </w:t>
      </w:r>
      <w:hyperlink r:id="rId6" w:tooltip="Método" w:history="1">
        <w:r w:rsidRPr="00971226">
          <w:rPr>
            <w:rStyle w:val="Hyperlink"/>
            <w:rFonts w:ascii="Times New Roman" w:hAnsi="Times New Roman"/>
            <w:color w:val="auto"/>
            <w:u w:val="none"/>
          </w:rPr>
          <w:t>método</w:t>
        </w:r>
      </w:hyperlink>
      <w:r w:rsidRPr="00971226">
        <w:rPr>
          <w:rFonts w:ascii="Times New Roman" w:hAnsi="Times New Roman"/>
        </w:rPr>
        <w:t xml:space="preserve"> muito utilizado para efetivar uma interação </w:t>
      </w:r>
      <w:hyperlink r:id="rId7" w:tooltip="Pedagogia" w:history="1">
        <w:r w:rsidRPr="00971226">
          <w:rPr>
            <w:rStyle w:val="Hyperlink"/>
            <w:rFonts w:ascii="Times New Roman" w:hAnsi="Times New Roman"/>
            <w:color w:val="auto"/>
            <w:u w:val="none"/>
          </w:rPr>
          <w:t>pedagógica</w:t>
        </w:r>
      </w:hyperlink>
      <w:r w:rsidRPr="00971226">
        <w:rPr>
          <w:rFonts w:ascii="Times New Roman" w:hAnsi="Times New Roman"/>
        </w:rPr>
        <w:t xml:space="preserve">. Os tutores acompanham seus alunos de forma sistemática, planejando, dentre outras coisas, o seu desenvolvimento e avaliando a </w:t>
      </w:r>
      <w:hyperlink r:id="rId8" w:tooltip="Eficiência" w:history="1">
        <w:r w:rsidRPr="00971226">
          <w:rPr>
            <w:rStyle w:val="Hyperlink"/>
            <w:rFonts w:ascii="Times New Roman" w:hAnsi="Times New Roman"/>
            <w:color w:val="auto"/>
            <w:u w:val="none"/>
          </w:rPr>
          <w:t>eficiência</w:t>
        </w:r>
      </w:hyperlink>
      <w:r w:rsidRPr="00971226">
        <w:rPr>
          <w:rFonts w:ascii="Times New Roman" w:hAnsi="Times New Roman"/>
        </w:rPr>
        <w:t xml:space="preserve"> de suas orientações. Os docentes têm a obrigação de guiar, estimular e incentivar os alunos a pesquisar, discutir e entender o assunto, baseado em discussões nas sessões tutoriais previamente marcadas. O</w:t>
      </w:r>
      <w:r w:rsidRPr="00971226">
        <w:rPr>
          <w:rFonts w:ascii="Times New Roman" w:eastAsia="Times New Roman" w:hAnsi="Times New Roman"/>
          <w:lang w:eastAsia="pt-BR"/>
        </w:rPr>
        <w:t xml:space="preserve"> grupo tutorial é composto de um tutor e 10 alunos. Dentre os alunos, um será o coordenador e outro o secretário da sessão tutorial. Os papéis de coordenador e de secretário rodiziam entre os alunos do grupo de sessão a sessão do grupo tutorial, de forma a propiciar que todos sejam coordenadores ou secretários. </w:t>
      </w:r>
    </w:p>
    <w:p w:rsidR="00971226" w:rsidRPr="00971226" w:rsidRDefault="00971226" w:rsidP="0097122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971226">
        <w:rPr>
          <w:rFonts w:ascii="Times New Roman" w:hAnsi="Times New Roman"/>
        </w:rPr>
        <w:t xml:space="preserve">A aprendizagem tutorial exige estrutura predeterminada e predefinida. Este tipo de aprendizagem tem suas raízes no cognitivismo. O tutor conhece as necessidades e soluções, pelo fato de ter vivenciado semelhantes dificuldades e por conhecer formas de superá-las. Esta estratégia de condução da aprendizagem agrada muitos alunos, por ser-lhes dada uma série de dicas sobre métodos de estudo. </w:t>
      </w:r>
    </w:p>
    <w:p w:rsidR="00971226" w:rsidRPr="00971226" w:rsidRDefault="00971226" w:rsidP="0097122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971226">
        <w:rPr>
          <w:rFonts w:ascii="Times New Roman" w:eastAsia="Times New Roman" w:hAnsi="Times New Roman"/>
          <w:lang w:eastAsia="pt-BR"/>
        </w:rPr>
        <w:t xml:space="preserve">A discussão de um problema se desenrola em duas fases. Na primeira fase, o problema é apresentado e os alunos formulam objetivos de aprendizado a partir da discussão do mesmo. Na segunda fase, após estudo individual realizado fora do grupo tutorial, os alunos rediscutem o problema à luz dos novos conhecimentos adquiridos. </w:t>
      </w:r>
      <w:r w:rsidRPr="00971226">
        <w:rPr>
          <w:rFonts w:ascii="Times New Roman" w:hAnsi="Times New Roman"/>
        </w:rPr>
        <w:t xml:space="preserve">Nossas tutorias iniciam desde a primeira turma de medicina, os quais são dados casos clínicos, previamente elaborados por docentes destas Faculdades, e são distribuídos para os alunos, os quais irão acontecer em três sessões. </w:t>
      </w:r>
      <w:r w:rsidRPr="00971226">
        <w:rPr>
          <w:rFonts w:ascii="Times New Roman" w:eastAsia="Times New Roman" w:hAnsi="Times New Roman"/>
          <w:lang w:eastAsia="pt-BR"/>
        </w:rPr>
        <w:t>O objetivo de um problema é suscitar uma discussão produtiva do grupo tutorial. Ao fim desta discussão, os alunos devem eleger objetivos de estudo que permitam o aprofundamento de seus conhecimentos sobre o tema gerador do problema. Na</w:t>
      </w:r>
      <w:r w:rsidRPr="00971226">
        <w:rPr>
          <w:rFonts w:ascii="Times New Roman" w:hAnsi="Times New Roman"/>
        </w:rPr>
        <w:t xml:space="preserve"> última sessão, será elaborado um relatório por escrito e </w:t>
      </w:r>
      <w:r w:rsidRPr="00971226">
        <w:rPr>
          <w:rFonts w:ascii="Times New Roman" w:eastAsia="Times New Roman" w:hAnsi="Times New Roman"/>
          <w:lang w:eastAsia="pt-BR"/>
        </w:rPr>
        <w:t xml:space="preserve">avaliamos a progressão do aluno e a avaliação da qualidade dos trabalhos pedagógico/didáticos. </w:t>
      </w:r>
      <w:r w:rsidRPr="00971226">
        <w:rPr>
          <w:rFonts w:ascii="Times New Roman" w:hAnsi="Times New Roman"/>
        </w:rPr>
        <w:t>Depois de concluído todos os casos, nós promovemos uma Mostra de tutoria, onde são apresentados temas sobre os assuntos estudados durante o semestre exposto em forma de Painéis, estes serão avaliados por uma comissão</w:t>
      </w:r>
      <w:r w:rsidRPr="00971226">
        <w:rPr>
          <w:rFonts w:ascii="Times New Roman" w:eastAsia="Times New Roman" w:hAnsi="Times New Roman"/>
          <w:lang w:eastAsia="pt-BR"/>
        </w:rPr>
        <w:t xml:space="preserve"> executiva composta somente por docentes convidados, os quais serão</w:t>
      </w:r>
      <w:r w:rsidRPr="00971226">
        <w:rPr>
          <w:rFonts w:ascii="Times New Roman" w:hAnsi="Times New Roman"/>
        </w:rPr>
        <w:t xml:space="preserve"> selecionados os três melhores trabalhos realizados. Todos os resumos dos painéis são publicados em Anais divulgados no site destas Faculdades. </w:t>
      </w:r>
    </w:p>
    <w:p w:rsidR="00971226" w:rsidRPr="00971226" w:rsidRDefault="00971226" w:rsidP="00971226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t-BR"/>
        </w:rPr>
      </w:pPr>
      <w:r w:rsidRPr="00971226">
        <w:rPr>
          <w:rFonts w:ascii="Times New Roman" w:eastAsia="Times New Roman" w:hAnsi="Times New Roman"/>
          <w:lang w:eastAsia="pt-BR"/>
        </w:rPr>
        <w:t>O método PBL (</w:t>
      </w:r>
      <w:proofErr w:type="spellStart"/>
      <w:r w:rsidRPr="00971226">
        <w:rPr>
          <w:rFonts w:ascii="Times New Roman" w:eastAsia="Times New Roman" w:hAnsi="Times New Roman"/>
          <w:lang w:eastAsia="pt-BR"/>
        </w:rPr>
        <w:t>Problem</w:t>
      </w:r>
      <w:proofErr w:type="spellEnd"/>
      <w:r w:rsidRPr="00971226">
        <w:rPr>
          <w:rFonts w:ascii="Times New Roman" w:eastAsia="Times New Roman" w:hAnsi="Times New Roman"/>
          <w:lang w:eastAsia="pt-BR"/>
        </w:rPr>
        <w:t xml:space="preserve"> </w:t>
      </w:r>
      <w:proofErr w:type="spellStart"/>
      <w:r w:rsidRPr="00971226">
        <w:rPr>
          <w:rFonts w:ascii="Times New Roman" w:eastAsia="Times New Roman" w:hAnsi="Times New Roman"/>
          <w:lang w:eastAsia="pt-BR"/>
        </w:rPr>
        <w:t>Based</w:t>
      </w:r>
      <w:proofErr w:type="spellEnd"/>
      <w:r w:rsidRPr="00971226">
        <w:rPr>
          <w:rFonts w:ascii="Times New Roman" w:eastAsia="Times New Roman" w:hAnsi="Times New Roman"/>
          <w:lang w:eastAsia="pt-BR"/>
        </w:rPr>
        <w:t xml:space="preserve"> Learning) é uma estratégia pedagógico/didática centrada no aluno e trata-se de um método de eficiência comprovada por inúmeras pesquisas no campo da psicopedagogia e da avaliação de desempenho dos profissionais formados por esse método. </w:t>
      </w:r>
    </w:p>
    <w:p w:rsidR="00971226" w:rsidRPr="00971226" w:rsidRDefault="00971226" w:rsidP="00971226">
      <w:pPr>
        <w:spacing w:after="0" w:line="240" w:lineRule="auto"/>
        <w:rPr>
          <w:rFonts w:ascii="Times New Roman" w:hAnsi="Times New Roman"/>
        </w:rPr>
      </w:pPr>
    </w:p>
    <w:p w:rsidR="00971226" w:rsidRPr="00971226" w:rsidRDefault="00971226" w:rsidP="00971226">
      <w:pPr>
        <w:spacing w:after="0" w:line="240" w:lineRule="auto"/>
        <w:jc w:val="right"/>
        <w:rPr>
          <w:rFonts w:ascii="Times New Roman" w:eastAsia="Times New Roman" w:hAnsi="Times New Roman"/>
          <w:lang w:eastAsia="pt-BR"/>
        </w:rPr>
      </w:pPr>
      <w:r w:rsidRPr="00971226">
        <w:rPr>
          <w:rFonts w:ascii="Times New Roman" w:hAnsi="Times New Roman"/>
        </w:rPr>
        <w:t>Prof</w:t>
      </w:r>
      <w:r w:rsidRPr="00971226">
        <w:rPr>
          <w:rFonts w:ascii="Times New Roman" w:hAnsi="Times New Roman"/>
          <w:vertAlign w:val="superscript"/>
        </w:rPr>
        <w:t>a</w:t>
      </w:r>
      <w:r w:rsidRPr="00971226">
        <w:rPr>
          <w:rFonts w:ascii="Times New Roman" w:hAnsi="Times New Roman"/>
        </w:rPr>
        <w:t xml:space="preserve">. </w:t>
      </w:r>
      <w:proofErr w:type="spellStart"/>
      <w:r w:rsidRPr="00971226">
        <w:rPr>
          <w:rFonts w:ascii="Times New Roman" w:hAnsi="Times New Roman"/>
        </w:rPr>
        <w:t>Drª</w:t>
      </w:r>
      <w:proofErr w:type="spellEnd"/>
      <w:r w:rsidRPr="00971226">
        <w:rPr>
          <w:rFonts w:ascii="Times New Roman" w:hAnsi="Times New Roman"/>
        </w:rPr>
        <w:t>. Maria do Socorro Gadelha Nóbrega</w:t>
      </w:r>
      <w:r w:rsidRPr="00971226">
        <w:rPr>
          <w:rFonts w:ascii="Times New Roman" w:hAnsi="Times New Roman"/>
        </w:rPr>
        <w:br/>
      </w:r>
      <w:r w:rsidRPr="00971226">
        <w:rPr>
          <w:rFonts w:ascii="Times New Roman" w:eastAsia="Times New Roman" w:hAnsi="Times New Roman"/>
          <w:lang w:eastAsia="pt-BR"/>
        </w:rPr>
        <w:t>Coordenadora da Mostra de Tutoria da Famene</w:t>
      </w:r>
    </w:p>
    <w:p w:rsidR="00971226" w:rsidRPr="00CE3C6C" w:rsidRDefault="00971226" w:rsidP="00971226">
      <w:pPr>
        <w:pStyle w:val="NormalWeb"/>
        <w:spacing w:before="0" w:beforeAutospacing="0" w:after="0" w:afterAutospacing="0"/>
        <w:rPr>
          <w:sz w:val="18"/>
        </w:rPr>
      </w:pPr>
    </w:p>
    <w:p w:rsidR="00971226" w:rsidRPr="00CE3C6C" w:rsidRDefault="00971226" w:rsidP="00971226">
      <w:pPr>
        <w:pStyle w:val="NormalWeb"/>
        <w:spacing w:before="0" w:beforeAutospacing="0" w:after="0" w:afterAutospacing="0"/>
        <w:jc w:val="both"/>
        <w:rPr>
          <w:sz w:val="18"/>
        </w:rPr>
      </w:pPr>
    </w:p>
    <w:p w:rsidR="00242E5A" w:rsidRDefault="00242E5A" w:rsidP="00242E5A">
      <w:pPr>
        <w:pStyle w:val="Padro"/>
        <w:ind w:left="1416" w:firstLine="708"/>
        <w:rPr>
          <w:b/>
        </w:rPr>
      </w:pPr>
    </w:p>
    <w:sectPr w:rsidR="00242E5A" w:rsidSect="002156A9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54"/>
    <w:rsid w:val="00001C00"/>
    <w:rsid w:val="00033EB4"/>
    <w:rsid w:val="00044B13"/>
    <w:rsid w:val="000D4307"/>
    <w:rsid w:val="00152B8D"/>
    <w:rsid w:val="00175650"/>
    <w:rsid w:val="001A7281"/>
    <w:rsid w:val="001B25AD"/>
    <w:rsid w:val="001C4ABF"/>
    <w:rsid w:val="002156A9"/>
    <w:rsid w:val="00242E5A"/>
    <w:rsid w:val="002913D8"/>
    <w:rsid w:val="002B6DD4"/>
    <w:rsid w:val="00350965"/>
    <w:rsid w:val="003923D8"/>
    <w:rsid w:val="003D7AF0"/>
    <w:rsid w:val="0042526E"/>
    <w:rsid w:val="00430CB7"/>
    <w:rsid w:val="00435A7B"/>
    <w:rsid w:val="00437103"/>
    <w:rsid w:val="004612EF"/>
    <w:rsid w:val="00471D54"/>
    <w:rsid w:val="004C3EB9"/>
    <w:rsid w:val="00531EBD"/>
    <w:rsid w:val="00591B9F"/>
    <w:rsid w:val="006245E0"/>
    <w:rsid w:val="006800E5"/>
    <w:rsid w:val="00727D1D"/>
    <w:rsid w:val="00753D57"/>
    <w:rsid w:val="00795BF2"/>
    <w:rsid w:val="007D73E7"/>
    <w:rsid w:val="007F419E"/>
    <w:rsid w:val="008259A1"/>
    <w:rsid w:val="00854963"/>
    <w:rsid w:val="00875B55"/>
    <w:rsid w:val="008953E2"/>
    <w:rsid w:val="00920A96"/>
    <w:rsid w:val="00921E63"/>
    <w:rsid w:val="00971226"/>
    <w:rsid w:val="009B4F69"/>
    <w:rsid w:val="009B5E39"/>
    <w:rsid w:val="009C222F"/>
    <w:rsid w:val="009D07F8"/>
    <w:rsid w:val="00A04C3E"/>
    <w:rsid w:val="00A35779"/>
    <w:rsid w:val="00A80706"/>
    <w:rsid w:val="00AD106E"/>
    <w:rsid w:val="00B657D7"/>
    <w:rsid w:val="00BC279D"/>
    <w:rsid w:val="00C222FE"/>
    <w:rsid w:val="00C23170"/>
    <w:rsid w:val="00CF0E95"/>
    <w:rsid w:val="00D30FEB"/>
    <w:rsid w:val="00D51519"/>
    <w:rsid w:val="00E7522D"/>
    <w:rsid w:val="00F3467E"/>
    <w:rsid w:val="00FF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8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2156A9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character" w:customStyle="1" w:styleId="TtuloChar">
    <w:name w:val="Título Char"/>
    <w:link w:val="Ttulo"/>
    <w:rsid w:val="002156A9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B657D7"/>
  </w:style>
  <w:style w:type="paragraph" w:customStyle="1" w:styleId="Padro">
    <w:name w:val="Padrão"/>
    <w:rsid w:val="001C4ABF"/>
    <w:pPr>
      <w:tabs>
        <w:tab w:val="left" w:pos="709"/>
      </w:tabs>
      <w:suppressAutoHyphens/>
      <w:spacing w:line="200" w:lineRule="atLeast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4ABF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FF385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5496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712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8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2156A9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character" w:customStyle="1" w:styleId="TtuloChar">
    <w:name w:val="Título Char"/>
    <w:link w:val="Ttulo"/>
    <w:rsid w:val="002156A9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B657D7"/>
  </w:style>
  <w:style w:type="paragraph" w:customStyle="1" w:styleId="Padro">
    <w:name w:val="Padrão"/>
    <w:rsid w:val="001C4ABF"/>
    <w:pPr>
      <w:tabs>
        <w:tab w:val="left" w:pos="709"/>
      </w:tabs>
      <w:suppressAutoHyphens/>
      <w:spacing w:line="200" w:lineRule="atLeast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4ABF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FF385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5496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712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.wikipedia.org/wiki/Efici%C3%AAnci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t.wikipedia.org/wiki/Pedagogi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t.wikipedia.org/wiki/M%C3%A9todo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542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Famene</Company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lali</dc:creator>
  <cp:lastModifiedBy>PC</cp:lastModifiedBy>
  <cp:revision>2</cp:revision>
  <cp:lastPrinted>2013-10-29T14:24:00Z</cp:lastPrinted>
  <dcterms:created xsi:type="dcterms:W3CDTF">2014-10-28T12:38:00Z</dcterms:created>
  <dcterms:modified xsi:type="dcterms:W3CDTF">2014-10-28T12:38:00Z</dcterms:modified>
</cp:coreProperties>
</file>